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84D36" w14:textId="0CC51A17" w:rsidR="00965321" w:rsidRPr="0074590A" w:rsidRDefault="00965321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 w:rsidRPr="0074590A">
        <w:rPr>
          <w:rFonts w:cs="Arial"/>
          <w:b/>
          <w:sz w:val="24"/>
          <w:lang w:val="en-GB"/>
        </w:rPr>
        <w:t>3GPP TSG RAN WG1 Meeting #9</w:t>
      </w:r>
      <w:r w:rsidR="00927724">
        <w:rPr>
          <w:rFonts w:cs="Arial"/>
          <w:b/>
          <w:sz w:val="24"/>
          <w:lang w:val="en-GB"/>
        </w:rPr>
        <w:t>4</w:t>
      </w:r>
      <w:r w:rsidR="004D58F6">
        <w:rPr>
          <w:rFonts w:cs="Arial"/>
          <w:b/>
          <w:sz w:val="24"/>
          <w:lang w:val="en-GB"/>
        </w:rPr>
        <w:t>BIS</w:t>
      </w:r>
      <w:r w:rsidRPr="0074590A">
        <w:rPr>
          <w:rFonts w:cs="Arial"/>
          <w:b/>
          <w:sz w:val="24"/>
          <w:lang w:val="en-GB"/>
        </w:rPr>
        <w:tab/>
      </w:r>
      <w:r w:rsidRPr="0074590A"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 xml:space="preserve">                                            </w:t>
      </w:r>
      <w:r w:rsidR="0018672E">
        <w:rPr>
          <w:rFonts w:cs="Arial"/>
          <w:b/>
          <w:sz w:val="24"/>
          <w:lang w:val="en-GB"/>
        </w:rPr>
        <w:t xml:space="preserve">                           </w:t>
      </w:r>
      <w:r w:rsidR="0018672E" w:rsidRPr="0018672E">
        <w:rPr>
          <w:rFonts w:cs="Arial"/>
          <w:b/>
          <w:sz w:val="24"/>
          <w:lang w:val="en-GB"/>
        </w:rPr>
        <w:t>R1-18</w:t>
      </w:r>
      <w:r w:rsidR="008A1323">
        <w:rPr>
          <w:rFonts w:cs="Arial"/>
          <w:b/>
          <w:sz w:val="24"/>
          <w:lang w:val="en-GB"/>
        </w:rPr>
        <w:t>11322</w:t>
      </w:r>
    </w:p>
    <w:p w14:paraId="3CF70009" w14:textId="73D7D451" w:rsidR="00965321" w:rsidRDefault="004D58F6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Chengdu</w:t>
      </w:r>
      <w:r w:rsidR="00B14861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P. R. China,</w:t>
      </w:r>
      <w:r w:rsidR="00B14861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October</w:t>
      </w:r>
      <w:r w:rsidR="00965321" w:rsidRPr="0074590A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8</w:t>
      </w:r>
      <w:r w:rsidR="00965321" w:rsidRPr="0074590A">
        <w:rPr>
          <w:rFonts w:cs="Arial"/>
          <w:b/>
          <w:sz w:val="24"/>
          <w:lang w:val="en-GB"/>
        </w:rPr>
        <w:t xml:space="preserve">th – </w:t>
      </w:r>
      <w:r>
        <w:rPr>
          <w:rFonts w:cs="Arial"/>
          <w:b/>
          <w:sz w:val="24"/>
          <w:lang w:val="en-GB"/>
        </w:rPr>
        <w:t>12</w:t>
      </w:r>
      <w:r w:rsidR="00B14861">
        <w:rPr>
          <w:rFonts w:cs="Arial"/>
          <w:b/>
          <w:sz w:val="24"/>
          <w:lang w:val="en-GB"/>
        </w:rPr>
        <w:t>th</w:t>
      </w:r>
      <w:r w:rsidR="00965321" w:rsidRPr="0074590A">
        <w:rPr>
          <w:rFonts w:cs="Arial"/>
          <w:b/>
          <w:sz w:val="24"/>
          <w:lang w:val="en-GB"/>
        </w:rPr>
        <w:t>, 2018</w:t>
      </w:r>
    </w:p>
    <w:p w14:paraId="24C8009F" w14:textId="77777777" w:rsidR="00EA743A" w:rsidRPr="00EA743A" w:rsidRDefault="00EA743A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</w:p>
    <w:p w14:paraId="27CC8F42" w14:textId="1FB43FBC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BE3D12">
        <w:rPr>
          <w:b/>
          <w:sz w:val="24"/>
          <w:szCs w:val="24"/>
        </w:rPr>
        <w:t>4</w:t>
      </w:r>
      <w:r w:rsidR="00965321">
        <w:rPr>
          <w:b/>
          <w:sz w:val="24"/>
          <w:szCs w:val="24"/>
        </w:rPr>
        <w:t>.</w:t>
      </w:r>
      <w:r w:rsidR="00F619CB">
        <w:rPr>
          <w:b/>
          <w:sz w:val="24"/>
          <w:szCs w:val="24"/>
        </w:rPr>
        <w:t>3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11863C58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73BEB">
        <w:rPr>
          <w:b/>
          <w:sz w:val="24"/>
          <w:szCs w:val="24"/>
        </w:rPr>
        <w:t>HARQ Feedback Enhancements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144C59FF" w:rsidR="00BC07D6" w:rsidRDefault="00EC6929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</w:t>
      </w:r>
      <w:r w:rsidRPr="00233D70">
        <w:rPr>
          <w:rFonts w:ascii="Calibri" w:hAnsi="Calibri"/>
        </w:rPr>
        <w:t xml:space="preserve"> </w:t>
      </w:r>
      <w:r w:rsidR="0047618F">
        <w:rPr>
          <w:rFonts w:ascii="Calibri" w:hAnsi="Calibri"/>
        </w:rPr>
        <w:t xml:space="preserve">study item </w:t>
      </w:r>
      <w:r w:rsidR="00B359FB">
        <w:rPr>
          <w:rFonts w:ascii="Calibri" w:hAnsi="Calibri"/>
        </w:rPr>
        <w:t>on the feasibility</w:t>
      </w:r>
      <w:r w:rsidR="0047618F">
        <w:rPr>
          <w:rFonts w:ascii="Calibri" w:hAnsi="Calibri"/>
        </w:rPr>
        <w:t xml:space="preserve"> of using NR in unlicensed band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>In RAN1#9</w:t>
      </w:r>
      <w:r w:rsidR="001937A9">
        <w:rPr>
          <w:rFonts w:ascii="Calibri" w:hAnsi="Calibri"/>
        </w:rPr>
        <w:t>4</w:t>
      </w:r>
      <w:r w:rsidR="00B16656">
        <w:rPr>
          <w:rFonts w:ascii="Calibri" w:hAnsi="Calibri"/>
        </w:rPr>
        <w:t>, t</w:t>
      </w:r>
      <w:r w:rsidR="00BC07D6">
        <w:rPr>
          <w:rFonts w:ascii="Calibri" w:hAnsi="Calibri"/>
        </w:rPr>
        <w:t>he following agreement</w:t>
      </w:r>
      <w:r w:rsidR="00CD44A8">
        <w:rPr>
          <w:rFonts w:ascii="Calibri" w:hAnsi="Calibri"/>
        </w:rPr>
        <w:t xml:space="preserve"> w</w:t>
      </w:r>
      <w:r w:rsidR="00B16656">
        <w:rPr>
          <w:rFonts w:ascii="Calibri" w:hAnsi="Calibri"/>
        </w:rPr>
        <w:t>as</w:t>
      </w:r>
      <w:r w:rsidR="00BC07D6">
        <w:rPr>
          <w:rFonts w:ascii="Calibri" w:hAnsi="Calibri"/>
        </w:rPr>
        <w:t xml:space="preserve"> reached regarding </w:t>
      </w:r>
      <w:r w:rsidR="00F619CB">
        <w:rPr>
          <w:rFonts w:ascii="Calibri" w:hAnsi="Calibri"/>
        </w:rPr>
        <w:t>HARQ feedback</w:t>
      </w:r>
      <w:r w:rsidR="00B16656">
        <w:rPr>
          <w:rFonts w:ascii="Calibri" w:hAnsi="Calibri"/>
        </w:rPr>
        <w:t xml:space="preserve"> </w:t>
      </w:r>
      <w:r w:rsidR="00A921DD">
        <w:rPr>
          <w:rFonts w:ascii="Calibri" w:hAnsi="Calibri"/>
        </w:rPr>
        <w:fldChar w:fldCharType="begin"/>
      </w:r>
      <w:r w:rsidR="00A921DD">
        <w:rPr>
          <w:rFonts w:ascii="Calibri" w:hAnsi="Calibri"/>
        </w:rPr>
        <w:instrText xml:space="preserve"> REF _Ref521482840 \r </w:instrText>
      </w:r>
      <w:r w:rsidR="00A921DD">
        <w:rPr>
          <w:rFonts w:ascii="Calibri" w:hAnsi="Calibri"/>
        </w:rPr>
        <w:fldChar w:fldCharType="separate"/>
      </w:r>
      <w:r w:rsidR="00A921DD">
        <w:rPr>
          <w:rFonts w:ascii="Calibri" w:hAnsi="Calibri"/>
        </w:rPr>
        <w:t>[2]</w:t>
      </w:r>
      <w:r w:rsidR="00A921DD">
        <w:rPr>
          <w:rFonts w:ascii="Calibri" w:hAnsi="Calibri"/>
        </w:rPr>
        <w:fldChar w:fldCharType="end"/>
      </w:r>
      <w:r w:rsidR="00BC07D6">
        <w:rPr>
          <w:rFonts w:ascii="Calibri" w:hAnsi="Calibri"/>
        </w:rPr>
        <w:t>:</w:t>
      </w:r>
    </w:p>
    <w:p w14:paraId="50255777" w14:textId="77777777" w:rsidR="00F619CB" w:rsidRPr="004108E1" w:rsidRDefault="00F619CB" w:rsidP="00F619CB">
      <w:pPr>
        <w:rPr>
          <w:lang w:eastAsia="x-none"/>
        </w:rPr>
      </w:pPr>
      <w:r w:rsidRPr="004108E1">
        <w:rPr>
          <w:highlight w:val="green"/>
          <w:lang w:eastAsia="x-none"/>
        </w:rPr>
        <w:t>Agreement:</w:t>
      </w:r>
      <w:r w:rsidRPr="004108E1">
        <w:rPr>
          <w:rFonts w:hint="eastAsia"/>
          <w:lang w:eastAsia="x-none"/>
        </w:rPr>
        <w:t xml:space="preserve"> </w:t>
      </w:r>
    </w:p>
    <w:p w14:paraId="4399432D" w14:textId="77777777" w:rsidR="00F619CB" w:rsidRPr="004108E1" w:rsidRDefault="00F619CB" w:rsidP="00F619CB">
      <w:pPr>
        <w:numPr>
          <w:ilvl w:val="0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lang w:eastAsia="x-none"/>
        </w:rPr>
        <w:t>NR-U should support both:</w:t>
      </w:r>
    </w:p>
    <w:p w14:paraId="69B2F21B" w14:textId="77777777" w:rsidR="00F619CB" w:rsidRPr="004108E1" w:rsidRDefault="00F619CB" w:rsidP="00F619CB">
      <w:pPr>
        <w:numPr>
          <w:ilvl w:val="1"/>
          <w:numId w:val="32"/>
        </w:numPr>
        <w:spacing w:before="0" w:after="0"/>
        <w:jc w:val="left"/>
        <w:rPr>
          <w:lang w:eastAsia="x-none"/>
        </w:rPr>
      </w:pPr>
      <w:bookmarkStart w:id="2" w:name="OLE_LINK20"/>
      <w:r w:rsidRPr="004108E1">
        <w:rPr>
          <w:lang w:eastAsia="x-none"/>
        </w:rPr>
        <w:t>HARQ feedback corresponding to some or all the PDSCHs of a channel occupancy can be reported in the same channel occupancy</w:t>
      </w:r>
      <w:bookmarkEnd w:id="2"/>
    </w:p>
    <w:p w14:paraId="10FEF112" w14:textId="77777777" w:rsidR="00F619CB" w:rsidRPr="004108E1" w:rsidRDefault="00F619CB" w:rsidP="00F619CB">
      <w:pPr>
        <w:numPr>
          <w:ilvl w:val="2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bCs/>
          <w:lang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14:paraId="1F72EB4D" w14:textId="77777777" w:rsidR="00F619CB" w:rsidRPr="004108E1" w:rsidRDefault="00F619CB" w:rsidP="00F619CB">
      <w:pPr>
        <w:numPr>
          <w:ilvl w:val="3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bCs/>
          <w:lang w:eastAsia="x-none"/>
        </w:rPr>
        <w:t>Allow values larger than 15 by RRC signaling (FFS the largest value needed)</w:t>
      </w:r>
    </w:p>
    <w:p w14:paraId="16B99F73" w14:textId="77777777" w:rsidR="00F619CB" w:rsidRPr="004108E1" w:rsidRDefault="00F619CB" w:rsidP="00F619CB">
      <w:pPr>
        <w:numPr>
          <w:ilvl w:val="4"/>
          <w:numId w:val="32"/>
        </w:numPr>
        <w:spacing w:before="0" w:after="0"/>
        <w:jc w:val="left"/>
        <w:rPr>
          <w:lang w:eastAsia="x-none"/>
        </w:rPr>
      </w:pPr>
      <w:r>
        <w:rPr>
          <w:bCs/>
          <w:lang w:eastAsia="x-none"/>
        </w:rPr>
        <w:t>N</w:t>
      </w:r>
      <w:r w:rsidRPr="004108E1">
        <w:rPr>
          <w:bCs/>
          <w:lang w:eastAsia="x-none"/>
        </w:rPr>
        <w:t>ote: in some cases this may point outside of the COT</w:t>
      </w:r>
    </w:p>
    <w:p w14:paraId="6A26B446" w14:textId="77777777" w:rsidR="00F619CB" w:rsidRPr="004108E1" w:rsidRDefault="00F619CB" w:rsidP="00F619CB">
      <w:pPr>
        <w:numPr>
          <w:ilvl w:val="3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bCs/>
          <w:lang w:eastAsia="x-none"/>
        </w:rPr>
        <w:t>Allow more bits for the PDSCH-to-HARQ-timing-indicator</w:t>
      </w:r>
    </w:p>
    <w:p w14:paraId="69DED5CB" w14:textId="77777777" w:rsidR="00F619CB" w:rsidRPr="004108E1" w:rsidRDefault="00F619CB" w:rsidP="00F619CB">
      <w:pPr>
        <w:numPr>
          <w:ilvl w:val="1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lang w:eastAsia="x-none"/>
        </w:rPr>
        <w:t>HARQ feedback corresponding to PDSCHs of a channel occupancy can be reported outside of that channel occupancy. These possible candidate solutions can be considered:</w:t>
      </w:r>
    </w:p>
    <w:p w14:paraId="24BCA9F5" w14:textId="77777777" w:rsidR="00F619CB" w:rsidRPr="004108E1" w:rsidRDefault="00F619CB" w:rsidP="00F619CB">
      <w:pPr>
        <w:numPr>
          <w:ilvl w:val="2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lang w:eastAsia="x-none"/>
        </w:rPr>
        <w:t>Alt1: gNB requests/triggers feedback for PDSCH from earlier COT(s)</w:t>
      </w:r>
    </w:p>
    <w:p w14:paraId="74D0F457" w14:textId="77777777" w:rsidR="00F619CB" w:rsidRPr="004108E1" w:rsidRDefault="00F619CB" w:rsidP="00F619CB">
      <w:pPr>
        <w:numPr>
          <w:ilvl w:val="2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lang w:eastAsia="x-none"/>
        </w:rPr>
        <w:t>Alt2: UE is configured to report HARQ feedback for PDSCH from earlier COT(s) without an explicit request/trigger</w:t>
      </w:r>
    </w:p>
    <w:p w14:paraId="0F3AB3BB" w14:textId="77777777" w:rsidR="00F619CB" w:rsidRPr="004108E1" w:rsidRDefault="00F619CB" w:rsidP="00F619CB">
      <w:pPr>
        <w:numPr>
          <w:ilvl w:val="2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lang w:eastAsia="x-none"/>
        </w:rPr>
        <w:t xml:space="preserve">Alt3: by </w:t>
      </w:r>
      <w:r w:rsidRPr="004108E1">
        <w:rPr>
          <w:bCs/>
          <w:lang w:eastAsia="x-none"/>
        </w:rPr>
        <w:t>PDSCH-to-HARQ-timing-indicator in the DCI scheduling the PDSCH</w:t>
      </w:r>
    </w:p>
    <w:p w14:paraId="5A0DC5CE" w14:textId="77777777" w:rsidR="00F619CB" w:rsidRPr="004108E1" w:rsidRDefault="00F619CB" w:rsidP="00F619CB">
      <w:pPr>
        <w:numPr>
          <w:ilvl w:val="2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bCs/>
          <w:lang w:eastAsia="x-none"/>
        </w:rPr>
        <w:t>Note: the alternatives above are at least applicable for the case where there is no HARQ feedback expected in the same channel occupancy as the PDSCH</w:t>
      </w:r>
    </w:p>
    <w:p w14:paraId="5D6A4481" w14:textId="77777777" w:rsidR="00F619CB" w:rsidRPr="004108E1" w:rsidRDefault="00F619CB" w:rsidP="00F619CB">
      <w:pPr>
        <w:numPr>
          <w:ilvl w:val="2"/>
          <w:numId w:val="32"/>
        </w:numPr>
        <w:spacing w:before="0" w:after="0"/>
        <w:jc w:val="left"/>
        <w:rPr>
          <w:lang w:eastAsia="x-none"/>
        </w:rPr>
      </w:pPr>
      <w:r w:rsidRPr="004108E1">
        <w:rPr>
          <w:bCs/>
          <w:lang w:eastAsia="x-none"/>
        </w:rPr>
        <w:t>Study the impact of the above candidate solutions on the HARQ codebook</w:t>
      </w:r>
    </w:p>
    <w:p w14:paraId="644AC0F2" w14:textId="438F3824" w:rsidR="004D58F6" w:rsidRDefault="004D58F6" w:rsidP="00B16656">
      <w:pPr>
        <w:pStyle w:val="maintext"/>
        <w:ind w:firstLineChars="0" w:firstLine="0"/>
        <w:jc w:val="left"/>
        <w:rPr>
          <w:rFonts w:ascii="Calibri" w:hAnsi="Calibri"/>
        </w:rPr>
      </w:pPr>
    </w:p>
    <w:p w14:paraId="0D0B1DCF" w14:textId="20AAFFE8" w:rsidR="0058113E" w:rsidRDefault="00B359FB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</w:t>
      </w:r>
      <w:r w:rsidR="001937A9">
        <w:rPr>
          <w:rFonts w:ascii="Calibri" w:hAnsi="Calibri"/>
        </w:rPr>
        <w:t>discuss</w:t>
      </w:r>
      <w:r>
        <w:rPr>
          <w:rFonts w:ascii="Calibri" w:hAnsi="Calibri"/>
        </w:rPr>
        <w:t xml:space="preserve"> </w:t>
      </w:r>
      <w:r w:rsidR="00F33B94">
        <w:rPr>
          <w:rFonts w:ascii="Calibri" w:hAnsi="Calibri"/>
        </w:rPr>
        <w:t xml:space="preserve">the </w:t>
      </w:r>
      <w:r w:rsidR="00F619CB">
        <w:rPr>
          <w:rFonts w:ascii="Calibri" w:hAnsi="Calibri"/>
        </w:rPr>
        <w:t>open issues for HARQ feedback</w:t>
      </w:r>
      <w:r>
        <w:rPr>
          <w:rFonts w:ascii="Calibri" w:hAnsi="Calibri"/>
        </w:rPr>
        <w:t>.</w:t>
      </w:r>
    </w:p>
    <w:p w14:paraId="5C44AC42" w14:textId="77777777" w:rsidR="00F33B94" w:rsidRDefault="00F33B94" w:rsidP="004D58F6">
      <w:pPr>
        <w:pStyle w:val="maintext"/>
        <w:ind w:firstLineChars="0" w:firstLine="0"/>
        <w:rPr>
          <w:rFonts w:ascii="Calibri" w:hAnsi="Calibri"/>
        </w:rPr>
      </w:pPr>
    </w:p>
    <w:p w14:paraId="7E833F0D" w14:textId="2DB3E959" w:rsidR="00B94AAD" w:rsidRDefault="00E251EC" w:rsidP="00257F9A">
      <w:pPr>
        <w:pStyle w:val="Heading1"/>
      </w:pPr>
      <w:r>
        <w:t xml:space="preserve">NR-U </w:t>
      </w:r>
      <w:r w:rsidR="00F619CB">
        <w:t>HARQ Feedback</w:t>
      </w:r>
    </w:p>
    <w:p w14:paraId="754B61CC" w14:textId="77777777" w:rsidR="00B5169C" w:rsidRDefault="00B5169C" w:rsidP="00A921DD">
      <w:pPr>
        <w:rPr>
          <w:b/>
        </w:rPr>
      </w:pPr>
    </w:p>
    <w:p w14:paraId="05390640" w14:textId="23D77CF0" w:rsidR="003658B1" w:rsidRDefault="00533D32" w:rsidP="003658B1">
      <w:r>
        <w:t xml:space="preserve">For the case of </w:t>
      </w:r>
      <w:r w:rsidRPr="00533D32">
        <w:t xml:space="preserve">HARQ feedback corresponding to some or all the PDSCHs of a channel occupancy </w:t>
      </w:r>
      <w:r>
        <w:t>being</w:t>
      </w:r>
      <w:r w:rsidRPr="00533D32">
        <w:t xml:space="preserve"> reported in the same channel occupancy</w:t>
      </w:r>
      <w:r>
        <w:t xml:space="preserve">, it is noted that a paused COT </w:t>
      </w:r>
      <w:r w:rsidR="005122EC">
        <w:t xml:space="preserve">with gaps </w:t>
      </w:r>
      <w:r>
        <w:t>can be extended up to 20 ms in duration according to EN 301 893.</w:t>
      </w:r>
      <w:r w:rsidR="005122EC">
        <w:t xml:space="preserve"> Therefore, both listed mechanisms should be supported for NR-U, to maximize the timing flexibility and granularity of DL HARQ feedback. </w:t>
      </w:r>
      <w:r w:rsidR="00E54002">
        <w:t>If in some cases, the RRC-signaled value points outside the COT, the resulting UCI transmission should still be considered as a valid transmission that needs to follow the appropriate channel access/multiplexing mechanism.</w:t>
      </w:r>
    </w:p>
    <w:p w14:paraId="6EC56951" w14:textId="26663466" w:rsidR="00E54002" w:rsidRPr="00E54002" w:rsidRDefault="00E54002" w:rsidP="00E54002">
      <w:pPr>
        <w:rPr>
          <w:b/>
        </w:rPr>
      </w:pPr>
      <w:r w:rsidRPr="00E54002">
        <w:rPr>
          <w:b/>
        </w:rPr>
        <w:t xml:space="preserve">Proposal 1: </w:t>
      </w:r>
      <w:r w:rsidRPr="00E54002">
        <w:rPr>
          <w:b/>
        </w:rPr>
        <w:t xml:space="preserve">If in some cases, the RRC-signaled value </w:t>
      </w:r>
      <w:r w:rsidRPr="00E54002">
        <w:rPr>
          <w:b/>
        </w:rPr>
        <w:t xml:space="preserve">for HARQ timing </w:t>
      </w:r>
      <w:r w:rsidRPr="00E54002">
        <w:rPr>
          <w:b/>
        </w:rPr>
        <w:t>points outside the COT, the resulting UCI transmission should still be considered as a valid transmission that needs to follow the appropriate channel access/multiplexing mechanism.</w:t>
      </w:r>
    </w:p>
    <w:p w14:paraId="607FD9E8" w14:textId="61ECBDC4" w:rsidR="00E54002" w:rsidRPr="003658B1" w:rsidRDefault="00E54002" w:rsidP="003658B1"/>
    <w:p w14:paraId="0C8302E9" w14:textId="7097B4AF" w:rsidR="00BF19DF" w:rsidRDefault="00891802" w:rsidP="00A921DD">
      <w:pPr>
        <w:rPr>
          <w:lang w:eastAsia="x-none"/>
        </w:rPr>
      </w:pPr>
      <w:r>
        <w:rPr>
          <w:lang w:eastAsia="x-none"/>
        </w:rPr>
        <w:lastRenderedPageBreak/>
        <w:t xml:space="preserve">For the case of </w:t>
      </w:r>
      <w:r w:rsidRPr="004108E1">
        <w:rPr>
          <w:lang w:eastAsia="x-none"/>
        </w:rPr>
        <w:t>HARQ feedback corresponding to PD</w:t>
      </w:r>
      <w:r>
        <w:rPr>
          <w:lang w:eastAsia="x-none"/>
        </w:rPr>
        <w:t xml:space="preserve">SCHs of a channel occupancy </w:t>
      </w:r>
      <w:r w:rsidRPr="004108E1">
        <w:rPr>
          <w:lang w:eastAsia="x-none"/>
        </w:rPr>
        <w:t>be</w:t>
      </w:r>
      <w:r>
        <w:rPr>
          <w:lang w:eastAsia="x-none"/>
        </w:rPr>
        <w:t>ing</w:t>
      </w:r>
      <w:r w:rsidRPr="004108E1">
        <w:rPr>
          <w:lang w:eastAsia="x-none"/>
        </w:rPr>
        <w:t xml:space="preserve"> reported outside of that channel occupancy</w:t>
      </w:r>
      <w:r w:rsidR="00E54002">
        <w:rPr>
          <w:lang w:eastAsia="x-none"/>
        </w:rPr>
        <w:t>, the candidate mechanisms are</w:t>
      </w:r>
    </w:p>
    <w:p w14:paraId="06FB892D" w14:textId="77777777" w:rsidR="00E54002" w:rsidRPr="004108E1" w:rsidRDefault="00E54002" w:rsidP="00E54002">
      <w:pPr>
        <w:numPr>
          <w:ilvl w:val="2"/>
          <w:numId w:val="32"/>
        </w:numPr>
        <w:spacing w:before="0" w:after="0"/>
        <w:ind w:left="360" w:hanging="270"/>
        <w:jc w:val="left"/>
        <w:rPr>
          <w:lang w:eastAsia="x-none"/>
        </w:rPr>
      </w:pPr>
      <w:r w:rsidRPr="004108E1">
        <w:rPr>
          <w:lang w:eastAsia="x-none"/>
        </w:rPr>
        <w:t>Alt1: gNB requests/triggers feedback for PDSCH from earlier COT(s)</w:t>
      </w:r>
    </w:p>
    <w:p w14:paraId="7ACA3087" w14:textId="77777777" w:rsidR="00E54002" w:rsidRPr="004108E1" w:rsidRDefault="00E54002" w:rsidP="00E54002">
      <w:pPr>
        <w:numPr>
          <w:ilvl w:val="2"/>
          <w:numId w:val="32"/>
        </w:numPr>
        <w:spacing w:before="0" w:after="0"/>
        <w:ind w:left="360" w:hanging="270"/>
        <w:jc w:val="left"/>
        <w:rPr>
          <w:lang w:eastAsia="x-none"/>
        </w:rPr>
      </w:pPr>
      <w:r w:rsidRPr="004108E1">
        <w:rPr>
          <w:lang w:eastAsia="x-none"/>
        </w:rPr>
        <w:t>Alt2: UE is configured to report HARQ feedback for PDSCH from earlier COT(s) without an explicit request/trigger</w:t>
      </w:r>
    </w:p>
    <w:p w14:paraId="39B49930" w14:textId="77777777" w:rsidR="00E54002" w:rsidRPr="004108E1" w:rsidRDefault="00E54002" w:rsidP="00E54002">
      <w:pPr>
        <w:numPr>
          <w:ilvl w:val="2"/>
          <w:numId w:val="32"/>
        </w:numPr>
        <w:spacing w:before="0" w:after="0"/>
        <w:ind w:left="360" w:hanging="270"/>
        <w:jc w:val="left"/>
        <w:rPr>
          <w:lang w:eastAsia="x-none"/>
        </w:rPr>
      </w:pPr>
      <w:r w:rsidRPr="004108E1">
        <w:rPr>
          <w:lang w:eastAsia="x-none"/>
        </w:rPr>
        <w:t xml:space="preserve">Alt3: by </w:t>
      </w:r>
      <w:r w:rsidRPr="004108E1">
        <w:rPr>
          <w:bCs/>
          <w:lang w:eastAsia="x-none"/>
        </w:rPr>
        <w:t>PDSCH-to-HARQ-timing-indicator in the DCI scheduling the PDSCH</w:t>
      </w:r>
    </w:p>
    <w:p w14:paraId="23578BB7" w14:textId="48C90F91" w:rsidR="00E54002" w:rsidRDefault="00E54002" w:rsidP="00A921DD">
      <w:r>
        <w:t xml:space="preserve">Alt1 and Alt3 require an additional DL transmission, while Alt2 </w:t>
      </w:r>
      <w:r w:rsidR="00276A69">
        <w:t>is a semi-static configuration that may not always be suitable, for e.g., in cases of overlap with configured grant resources. Therefore, for maximal flexibility, all three mechanisms should be supported for NR-U.</w:t>
      </w:r>
    </w:p>
    <w:p w14:paraId="108E93CE" w14:textId="77777777" w:rsidR="00276A69" w:rsidRDefault="00276A69" w:rsidP="00A921DD"/>
    <w:p w14:paraId="6466FD53" w14:textId="718F2484" w:rsidR="00276A69" w:rsidRPr="00276A69" w:rsidRDefault="00276A69" w:rsidP="00A921DD">
      <w:pPr>
        <w:rPr>
          <w:b/>
        </w:rPr>
      </w:pPr>
      <w:r w:rsidRPr="00276A69">
        <w:rPr>
          <w:b/>
        </w:rPr>
        <w:t xml:space="preserve">Proposal 2: It is </w:t>
      </w:r>
      <w:r>
        <w:rPr>
          <w:b/>
        </w:rPr>
        <w:t xml:space="preserve">considered </w:t>
      </w:r>
      <w:r w:rsidRPr="00276A69">
        <w:rPr>
          <w:b/>
        </w:rPr>
        <w:t xml:space="preserve">beneficial to support all three candidate mechanisms (explicit and configured triggering) for </w:t>
      </w:r>
      <w:r w:rsidRPr="00276A69">
        <w:rPr>
          <w:b/>
          <w:lang w:eastAsia="x-none"/>
        </w:rPr>
        <w:t>HARQ feedback corresponding to PDSCHs of a channel occupancy being reported outside of that channel occupancy</w:t>
      </w:r>
      <w:r w:rsidRPr="00276A69">
        <w:rPr>
          <w:b/>
          <w:lang w:eastAsia="x-none"/>
        </w:rPr>
        <w:t>.</w:t>
      </w:r>
    </w:p>
    <w:p w14:paraId="1E21312F" w14:textId="77777777" w:rsidR="00096B50" w:rsidRDefault="00096B50" w:rsidP="00FD0831">
      <w:pPr>
        <w:rPr>
          <w:b/>
        </w:rPr>
      </w:pPr>
    </w:p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26827003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</w:t>
      </w:r>
      <w:r w:rsidR="0035104D">
        <w:t xml:space="preserve">discussed </w:t>
      </w:r>
      <w:r w:rsidR="0035104D">
        <w:t xml:space="preserve">open issues for </w:t>
      </w:r>
      <w:r w:rsidR="0035104D">
        <w:t xml:space="preserve">NR-U </w:t>
      </w:r>
      <w:r w:rsidR="0035104D">
        <w:t>HARQ feedback</w:t>
      </w:r>
      <w:r w:rsidR="0035104D">
        <w:t>, with t</w:t>
      </w:r>
      <w:r w:rsidR="00575CB3">
        <w:t xml:space="preserve">he following </w:t>
      </w:r>
      <w:r w:rsidR="0035104D">
        <w:t>proposals:</w:t>
      </w:r>
    </w:p>
    <w:p w14:paraId="1E86A60D" w14:textId="77777777" w:rsidR="00276A69" w:rsidRPr="00E54002" w:rsidRDefault="00276A69" w:rsidP="00276A69">
      <w:pPr>
        <w:rPr>
          <w:b/>
        </w:rPr>
      </w:pPr>
      <w:r w:rsidRPr="00E54002">
        <w:rPr>
          <w:b/>
        </w:rPr>
        <w:t>Proposal 1: If in some cases, the RRC-signaled value for HARQ timing points outside the COT, the resulting UCI transmission should still be considered as a valid transmission that needs to follow the appropriate channel access/multiplexing mechanism.</w:t>
      </w:r>
    </w:p>
    <w:p w14:paraId="58A98724" w14:textId="77777777" w:rsidR="00276A69" w:rsidRDefault="00276A69" w:rsidP="00276A69"/>
    <w:p w14:paraId="7AB25F1E" w14:textId="27F80972" w:rsidR="00276A69" w:rsidRPr="00276A69" w:rsidRDefault="00276A69" w:rsidP="00276A69">
      <w:pPr>
        <w:rPr>
          <w:b/>
        </w:rPr>
      </w:pPr>
      <w:r w:rsidRPr="00276A69">
        <w:rPr>
          <w:b/>
        </w:rPr>
        <w:t xml:space="preserve">Proposal 2: It is </w:t>
      </w:r>
      <w:r>
        <w:rPr>
          <w:b/>
        </w:rPr>
        <w:t xml:space="preserve">considered </w:t>
      </w:r>
      <w:r w:rsidRPr="00276A69">
        <w:rPr>
          <w:b/>
        </w:rPr>
        <w:t xml:space="preserve">beneficial to support all three candidate mechanisms (explicit and configured triggering) for </w:t>
      </w:r>
      <w:r w:rsidRPr="00276A69">
        <w:rPr>
          <w:b/>
          <w:lang w:eastAsia="x-none"/>
        </w:rPr>
        <w:t>HARQ feedback corresponding to PDSCHs of a channel occupancy being reported outside of that channel occupancy.</w:t>
      </w:r>
    </w:p>
    <w:p w14:paraId="08D402D3" w14:textId="77777777" w:rsidR="00877963" w:rsidRDefault="00877963" w:rsidP="0053586B">
      <w:pPr>
        <w:rPr>
          <w:b/>
        </w:rPr>
      </w:pPr>
      <w:bookmarkStart w:id="3" w:name="_GoBack"/>
      <w:bookmarkEnd w:id="3"/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5EEB6DAE" w14:textId="76025CFC" w:rsidR="00B17EEB" w:rsidRDefault="00F67C2E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r w:rsidRPr="00AA62E3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54182759" w14:textId="1E413E73" w:rsidR="00A921DD" w:rsidRDefault="00A921DD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bookmarkStart w:id="4" w:name="_Ref521482840"/>
      <w:r>
        <w:rPr>
          <w:rFonts w:eastAsia="SimSun"/>
          <w:color w:val="000000"/>
          <w:lang w:eastAsia="zh-CN"/>
        </w:rPr>
        <w:t>Chairman’s Notes, RAN1#9</w:t>
      </w:r>
      <w:r w:rsidR="00FB28F0">
        <w:rPr>
          <w:rFonts w:eastAsia="SimSun"/>
          <w:color w:val="000000"/>
          <w:lang w:eastAsia="zh-CN"/>
        </w:rPr>
        <w:t>4</w:t>
      </w:r>
      <w:r>
        <w:rPr>
          <w:rFonts w:eastAsia="SimSun"/>
          <w:color w:val="000000"/>
          <w:lang w:eastAsia="zh-CN"/>
        </w:rPr>
        <w:t xml:space="preserve">, </w:t>
      </w:r>
      <w:r w:rsidR="00FB28F0">
        <w:rPr>
          <w:rFonts w:eastAsia="SimSun"/>
          <w:color w:val="000000"/>
          <w:lang w:eastAsia="zh-CN"/>
        </w:rPr>
        <w:t>Gothenburg</w:t>
      </w:r>
      <w:r>
        <w:rPr>
          <w:rFonts w:eastAsia="SimSun"/>
          <w:color w:val="000000"/>
          <w:lang w:eastAsia="zh-CN"/>
        </w:rPr>
        <w:t>.</w:t>
      </w:r>
      <w:bookmarkEnd w:id="4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AEF1F" w14:textId="77777777" w:rsidR="00991803" w:rsidRDefault="00991803" w:rsidP="00424124">
      <w:pPr>
        <w:spacing w:before="0" w:after="0"/>
      </w:pPr>
      <w:r>
        <w:separator/>
      </w:r>
    </w:p>
  </w:endnote>
  <w:endnote w:type="continuationSeparator" w:id="0">
    <w:p w14:paraId="4BB16723" w14:textId="77777777" w:rsidR="00991803" w:rsidRDefault="00991803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3ABE3" w14:textId="77777777" w:rsidR="00991803" w:rsidRDefault="00991803" w:rsidP="00424124">
      <w:pPr>
        <w:spacing w:before="0" w:after="0"/>
      </w:pPr>
      <w:r>
        <w:separator/>
      </w:r>
    </w:p>
  </w:footnote>
  <w:footnote w:type="continuationSeparator" w:id="0">
    <w:p w14:paraId="264EB494" w14:textId="77777777" w:rsidR="00991803" w:rsidRDefault="00991803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7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4"/>
  </w:num>
  <w:num w:numId="4">
    <w:abstractNumId w:val="2"/>
  </w:num>
  <w:num w:numId="5">
    <w:abstractNumId w:val="28"/>
  </w:num>
  <w:num w:numId="6">
    <w:abstractNumId w:val="26"/>
  </w:num>
  <w:num w:numId="7">
    <w:abstractNumId w:val="3"/>
  </w:num>
  <w:num w:numId="8">
    <w:abstractNumId w:val="12"/>
  </w:num>
  <w:num w:numId="9">
    <w:abstractNumId w:val="27"/>
  </w:num>
  <w:num w:numId="10">
    <w:abstractNumId w:val="9"/>
  </w:num>
  <w:num w:numId="11">
    <w:abstractNumId w:val="8"/>
  </w:num>
  <w:num w:numId="12">
    <w:abstractNumId w:val="14"/>
  </w:num>
  <w:num w:numId="13">
    <w:abstractNumId w:val="19"/>
  </w:num>
  <w:num w:numId="14">
    <w:abstractNumId w:val="22"/>
  </w:num>
  <w:num w:numId="15">
    <w:abstractNumId w:val="5"/>
  </w:num>
  <w:num w:numId="16">
    <w:abstractNumId w:val="15"/>
  </w:num>
  <w:num w:numId="17">
    <w:abstractNumId w:val="24"/>
  </w:num>
  <w:num w:numId="18">
    <w:abstractNumId w:val="24"/>
  </w:num>
  <w:num w:numId="19">
    <w:abstractNumId w:val="17"/>
  </w:num>
  <w:num w:numId="20">
    <w:abstractNumId w:val="10"/>
  </w:num>
  <w:num w:numId="21">
    <w:abstractNumId w:val="1"/>
  </w:num>
  <w:num w:numId="22">
    <w:abstractNumId w:val="23"/>
  </w:num>
  <w:num w:numId="23">
    <w:abstractNumId w:val="25"/>
  </w:num>
  <w:num w:numId="24">
    <w:abstractNumId w:val="29"/>
  </w:num>
  <w:num w:numId="25">
    <w:abstractNumId w:val="11"/>
  </w:num>
  <w:num w:numId="26">
    <w:abstractNumId w:val="16"/>
  </w:num>
  <w:num w:numId="27">
    <w:abstractNumId w:val="7"/>
  </w:num>
  <w:num w:numId="28">
    <w:abstractNumId w:val="0"/>
  </w:num>
  <w:num w:numId="29">
    <w:abstractNumId w:val="13"/>
  </w:num>
  <w:num w:numId="30">
    <w:abstractNumId w:val="18"/>
  </w:num>
  <w:num w:numId="31">
    <w:abstractNumId w:val="21"/>
  </w:num>
  <w:num w:numId="3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50BC"/>
    <w:rsid w:val="000643FA"/>
    <w:rsid w:val="000730C9"/>
    <w:rsid w:val="0007575F"/>
    <w:rsid w:val="00075C88"/>
    <w:rsid w:val="00075FD1"/>
    <w:rsid w:val="0007622C"/>
    <w:rsid w:val="00085800"/>
    <w:rsid w:val="000865E3"/>
    <w:rsid w:val="000917C5"/>
    <w:rsid w:val="00093068"/>
    <w:rsid w:val="00096B50"/>
    <w:rsid w:val="000977EE"/>
    <w:rsid w:val="000A36A9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1C16"/>
    <w:rsid w:val="0010303E"/>
    <w:rsid w:val="00111F1B"/>
    <w:rsid w:val="0011327D"/>
    <w:rsid w:val="0011368E"/>
    <w:rsid w:val="00116DA6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58CC"/>
    <w:rsid w:val="001F59ED"/>
    <w:rsid w:val="00211D37"/>
    <w:rsid w:val="00212204"/>
    <w:rsid w:val="00216763"/>
    <w:rsid w:val="00216DF5"/>
    <w:rsid w:val="00220E3A"/>
    <w:rsid w:val="002211DE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3BEB"/>
    <w:rsid w:val="00274677"/>
    <w:rsid w:val="00276A69"/>
    <w:rsid w:val="0028740C"/>
    <w:rsid w:val="002879EB"/>
    <w:rsid w:val="0029147A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A3B"/>
    <w:rsid w:val="002F5136"/>
    <w:rsid w:val="00313064"/>
    <w:rsid w:val="00315DC4"/>
    <w:rsid w:val="00317020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104D"/>
    <w:rsid w:val="00351A5F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137D5"/>
    <w:rsid w:val="004146B7"/>
    <w:rsid w:val="00424124"/>
    <w:rsid w:val="00426B8E"/>
    <w:rsid w:val="00434212"/>
    <w:rsid w:val="004364F4"/>
    <w:rsid w:val="00440F6E"/>
    <w:rsid w:val="00443645"/>
    <w:rsid w:val="00443CD6"/>
    <w:rsid w:val="00446BF2"/>
    <w:rsid w:val="00453805"/>
    <w:rsid w:val="004539BD"/>
    <w:rsid w:val="004547B0"/>
    <w:rsid w:val="004552C9"/>
    <w:rsid w:val="0045714E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6EAE"/>
    <w:rsid w:val="004A5ABE"/>
    <w:rsid w:val="004A6424"/>
    <w:rsid w:val="004A69D0"/>
    <w:rsid w:val="004A6A82"/>
    <w:rsid w:val="004B2E8B"/>
    <w:rsid w:val="004B6AA8"/>
    <w:rsid w:val="004B6E00"/>
    <w:rsid w:val="004C186B"/>
    <w:rsid w:val="004C3F2E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5055A6"/>
    <w:rsid w:val="00507060"/>
    <w:rsid w:val="0051179B"/>
    <w:rsid w:val="005122EC"/>
    <w:rsid w:val="0051424F"/>
    <w:rsid w:val="00522DDD"/>
    <w:rsid w:val="00523623"/>
    <w:rsid w:val="005259A3"/>
    <w:rsid w:val="005267DB"/>
    <w:rsid w:val="00526CF5"/>
    <w:rsid w:val="00530CB9"/>
    <w:rsid w:val="00533D32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58E7"/>
    <w:rsid w:val="00575CB3"/>
    <w:rsid w:val="005778C8"/>
    <w:rsid w:val="0058113E"/>
    <w:rsid w:val="0058120D"/>
    <w:rsid w:val="00582E47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A78"/>
    <w:rsid w:val="006C7DB5"/>
    <w:rsid w:val="006D5B36"/>
    <w:rsid w:val="006E0B85"/>
    <w:rsid w:val="006E1947"/>
    <w:rsid w:val="006E3698"/>
    <w:rsid w:val="006E5242"/>
    <w:rsid w:val="006E790B"/>
    <w:rsid w:val="006F055C"/>
    <w:rsid w:val="006F3A2E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158D"/>
    <w:rsid w:val="0075622F"/>
    <w:rsid w:val="0076067D"/>
    <w:rsid w:val="00764288"/>
    <w:rsid w:val="0076440A"/>
    <w:rsid w:val="00774F2A"/>
    <w:rsid w:val="00782B9C"/>
    <w:rsid w:val="00782CDC"/>
    <w:rsid w:val="007839F9"/>
    <w:rsid w:val="007A2765"/>
    <w:rsid w:val="007A2E96"/>
    <w:rsid w:val="007A546E"/>
    <w:rsid w:val="007B13E5"/>
    <w:rsid w:val="007B2F6B"/>
    <w:rsid w:val="007B473A"/>
    <w:rsid w:val="007D2A36"/>
    <w:rsid w:val="007D2C48"/>
    <w:rsid w:val="007D4056"/>
    <w:rsid w:val="007E0C23"/>
    <w:rsid w:val="007E546F"/>
    <w:rsid w:val="007F1928"/>
    <w:rsid w:val="007F343C"/>
    <w:rsid w:val="007F392E"/>
    <w:rsid w:val="00801422"/>
    <w:rsid w:val="008016B6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5004"/>
    <w:rsid w:val="00887AB4"/>
    <w:rsid w:val="00891802"/>
    <w:rsid w:val="00894290"/>
    <w:rsid w:val="008979E7"/>
    <w:rsid w:val="008A0061"/>
    <w:rsid w:val="008A1323"/>
    <w:rsid w:val="008A25A1"/>
    <w:rsid w:val="008B39B6"/>
    <w:rsid w:val="008B72C0"/>
    <w:rsid w:val="008C18F2"/>
    <w:rsid w:val="008C1AFD"/>
    <w:rsid w:val="008C27C3"/>
    <w:rsid w:val="008C4B67"/>
    <w:rsid w:val="008D1AEF"/>
    <w:rsid w:val="008D22D6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1E9A"/>
    <w:rsid w:val="00982CA4"/>
    <w:rsid w:val="00984235"/>
    <w:rsid w:val="009852A0"/>
    <w:rsid w:val="00991803"/>
    <w:rsid w:val="00993D92"/>
    <w:rsid w:val="009A4D63"/>
    <w:rsid w:val="009A54FC"/>
    <w:rsid w:val="009A5A1C"/>
    <w:rsid w:val="009B08C5"/>
    <w:rsid w:val="009B0DE8"/>
    <w:rsid w:val="009B52C0"/>
    <w:rsid w:val="009C2167"/>
    <w:rsid w:val="009C324F"/>
    <w:rsid w:val="009C6D2C"/>
    <w:rsid w:val="009D46C1"/>
    <w:rsid w:val="009E0D02"/>
    <w:rsid w:val="009E5838"/>
    <w:rsid w:val="00A039FE"/>
    <w:rsid w:val="00A04465"/>
    <w:rsid w:val="00A06D64"/>
    <w:rsid w:val="00A11704"/>
    <w:rsid w:val="00A11840"/>
    <w:rsid w:val="00A12440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A13"/>
    <w:rsid w:val="00B625B1"/>
    <w:rsid w:val="00B648CA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31F9"/>
    <w:rsid w:val="00BC6F83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218A9"/>
    <w:rsid w:val="00C263F4"/>
    <w:rsid w:val="00C34D56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5FAB"/>
    <w:rsid w:val="00D56786"/>
    <w:rsid w:val="00D60F04"/>
    <w:rsid w:val="00D61B7F"/>
    <w:rsid w:val="00D61EAB"/>
    <w:rsid w:val="00D701D3"/>
    <w:rsid w:val="00D71E46"/>
    <w:rsid w:val="00D7445F"/>
    <w:rsid w:val="00D910ED"/>
    <w:rsid w:val="00D92B1D"/>
    <w:rsid w:val="00D960F4"/>
    <w:rsid w:val="00DB57ED"/>
    <w:rsid w:val="00DC0E31"/>
    <w:rsid w:val="00DC5CBE"/>
    <w:rsid w:val="00DC70D0"/>
    <w:rsid w:val="00DC7DD6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24C0"/>
    <w:rsid w:val="00E34DD7"/>
    <w:rsid w:val="00E40344"/>
    <w:rsid w:val="00E54002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4A75"/>
    <w:rsid w:val="00EB5FBB"/>
    <w:rsid w:val="00EC6929"/>
    <w:rsid w:val="00EC6A0B"/>
    <w:rsid w:val="00ED407A"/>
    <w:rsid w:val="00EE3517"/>
    <w:rsid w:val="00EE4A18"/>
    <w:rsid w:val="00EF61D1"/>
    <w:rsid w:val="00EF70F2"/>
    <w:rsid w:val="00F01D63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D43"/>
    <w:rsid w:val="00F57965"/>
    <w:rsid w:val="00F619CB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33FB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0F893-8212-4D02-A248-D50562995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9</cp:revision>
  <cp:lastPrinted>2016-02-23T15:51:00Z</cp:lastPrinted>
  <dcterms:created xsi:type="dcterms:W3CDTF">2018-09-25T00:55:00Z</dcterms:created>
  <dcterms:modified xsi:type="dcterms:W3CDTF">2018-09-28T23:09:00Z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